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0DEF" w14:textId="793C16DD" w:rsidR="003E1AC2" w:rsidRPr="00D46B7E" w:rsidRDefault="00D46B7E" w:rsidP="004A3A54">
      <w:pPr>
        <w:spacing w:after="0"/>
        <w:rPr>
          <w:rFonts w:ascii="Arial" w:hAnsi="Arial" w:cs="Arial"/>
          <w:b/>
          <w:i/>
          <w:iCs/>
          <w:color w:val="0070C0"/>
          <w:szCs w:val="22"/>
        </w:rPr>
      </w:pPr>
      <w:r w:rsidRPr="00D46B7E">
        <w:rPr>
          <w:rFonts w:ascii="Arial" w:hAnsi="Arial" w:cs="Arial"/>
          <w:b/>
          <w:i/>
          <w:iCs/>
          <w:color w:val="0070C0"/>
          <w:szCs w:val="22"/>
        </w:rPr>
        <w:t xml:space="preserve">Modèle de délibération. Les éléments </w:t>
      </w:r>
      <w:r w:rsidRPr="000F3944">
        <w:rPr>
          <w:rFonts w:ascii="Arial" w:hAnsi="Arial" w:cs="Arial"/>
          <w:b/>
          <w:i/>
          <w:iCs/>
          <w:color w:val="0070C0"/>
          <w:szCs w:val="22"/>
          <w:highlight w:val="lightGray"/>
        </w:rPr>
        <w:t>surlignés en gris</w:t>
      </w:r>
      <w:r w:rsidRPr="00D46B7E">
        <w:rPr>
          <w:rFonts w:ascii="Arial" w:hAnsi="Arial" w:cs="Arial"/>
          <w:b/>
          <w:i/>
          <w:iCs/>
          <w:color w:val="0070C0"/>
          <w:szCs w:val="22"/>
        </w:rPr>
        <w:t xml:space="preserve"> sont à compléter</w:t>
      </w:r>
    </w:p>
    <w:p w14:paraId="1146282E" w14:textId="77777777" w:rsidR="00D46B7E" w:rsidRPr="004A3A54" w:rsidRDefault="00D46B7E" w:rsidP="004A3A54">
      <w:pPr>
        <w:spacing w:after="0"/>
        <w:rPr>
          <w:rFonts w:ascii="Arial" w:hAnsi="Arial" w:cs="Arial"/>
          <w:b/>
          <w:color w:val="1A1A1A" w:themeColor="background1" w:themeShade="1A"/>
          <w:szCs w:val="22"/>
        </w:rPr>
      </w:pPr>
    </w:p>
    <w:p w14:paraId="077F4E9D" w14:textId="77777777" w:rsidR="00061606" w:rsidRPr="004A3A54" w:rsidRDefault="00061606" w:rsidP="004A3A54">
      <w:pPr>
        <w:framePr w:h="1264" w:hSpace="142" w:wrap="notBeside" w:vAnchor="text" w:hAnchor="page" w:x="735" w:y="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color w:val="1A1A1A" w:themeColor="background1" w:themeShade="1A"/>
          <w:szCs w:val="22"/>
        </w:rPr>
      </w:pPr>
    </w:p>
    <w:p w14:paraId="67FA1412" w14:textId="77777777" w:rsidR="003E1AC2" w:rsidRPr="005B41A6" w:rsidRDefault="007D738D" w:rsidP="004A3A54">
      <w:pPr>
        <w:spacing w:after="0"/>
        <w:jc w:val="center"/>
        <w:rPr>
          <w:rFonts w:ascii="Arial" w:hAnsi="Arial" w:cs="Arial"/>
          <w:b/>
          <w:color w:val="1A1A1A" w:themeColor="background1" w:themeShade="1A"/>
          <w:sz w:val="28"/>
          <w:szCs w:val="28"/>
        </w:rPr>
      </w:pPr>
      <w:r w:rsidRPr="005B41A6">
        <w:rPr>
          <w:rFonts w:ascii="Arial" w:hAnsi="Arial" w:cs="Arial"/>
          <w:b/>
          <w:color w:val="1A1A1A" w:themeColor="background1" w:themeShade="1A"/>
          <w:sz w:val="28"/>
          <w:szCs w:val="28"/>
        </w:rPr>
        <w:t xml:space="preserve">Délibération </w:t>
      </w:r>
      <w:r w:rsidRPr="005B41A6">
        <w:rPr>
          <w:rFonts w:ascii="Arial" w:hAnsi="Arial" w:cs="Arial"/>
          <w:b/>
          <w:color w:val="1A1A1A" w:themeColor="background1" w:themeShade="1A"/>
          <w:sz w:val="28"/>
          <w:szCs w:val="28"/>
          <w:highlight w:val="lightGray"/>
        </w:rPr>
        <w:t>N°……</w:t>
      </w:r>
    </w:p>
    <w:p w14:paraId="3F85E16B" w14:textId="77777777" w:rsidR="005B41A6" w:rsidRDefault="005B41A6" w:rsidP="004A3A54">
      <w:pPr>
        <w:spacing w:after="0"/>
        <w:rPr>
          <w:rFonts w:ascii="Arial" w:hAnsi="Arial" w:cs="Arial"/>
          <w:b/>
          <w:color w:val="1A1A1A" w:themeColor="background1" w:themeShade="1A"/>
          <w:szCs w:val="22"/>
          <w:u w:val="single"/>
        </w:rPr>
      </w:pPr>
    </w:p>
    <w:p w14:paraId="7FE0F4F1" w14:textId="2E9905F2" w:rsidR="007D738D" w:rsidRPr="004A3A54" w:rsidRDefault="007D738D" w:rsidP="004A3A54">
      <w:pPr>
        <w:spacing w:after="0"/>
        <w:rPr>
          <w:rFonts w:ascii="Arial" w:hAnsi="Arial" w:cs="Arial"/>
          <w:b/>
          <w:color w:val="1A1A1A" w:themeColor="background1" w:themeShade="1A"/>
          <w:szCs w:val="22"/>
          <w:u w:val="single"/>
        </w:rPr>
      </w:pPr>
      <w:r w:rsidRPr="004A3A54">
        <w:rPr>
          <w:rFonts w:ascii="Arial" w:hAnsi="Arial" w:cs="Arial"/>
          <w:b/>
          <w:color w:val="1A1A1A" w:themeColor="background1" w:themeShade="1A"/>
          <w:szCs w:val="22"/>
          <w:u w:val="single"/>
        </w:rPr>
        <w:t>Présents</w:t>
      </w:r>
    </w:p>
    <w:p w14:paraId="7421ABCC" w14:textId="0E258ACF" w:rsidR="007D738D" w:rsidRDefault="007D738D" w:rsidP="004A3A54">
      <w:pPr>
        <w:spacing w:after="0"/>
        <w:rPr>
          <w:rFonts w:ascii="Arial" w:hAnsi="Arial" w:cs="Arial"/>
          <w:b/>
          <w:color w:val="1A1A1A" w:themeColor="background1" w:themeShade="1A"/>
          <w:szCs w:val="22"/>
        </w:rPr>
      </w:pPr>
      <w:r w:rsidRPr="004A3A54">
        <w:rPr>
          <w:rFonts w:ascii="Arial" w:hAnsi="Arial" w:cs="Arial"/>
          <w:b/>
          <w:color w:val="1A1A1A" w:themeColor="background1" w:themeShade="1A"/>
          <w:szCs w:val="22"/>
          <w:highlight w:val="lightGray"/>
        </w:rPr>
        <w:t>…..</w:t>
      </w:r>
    </w:p>
    <w:p w14:paraId="514ADEDF" w14:textId="77777777" w:rsidR="005B41A6" w:rsidRPr="004A3A54" w:rsidRDefault="005B41A6" w:rsidP="004A3A54">
      <w:pPr>
        <w:spacing w:after="0"/>
        <w:rPr>
          <w:rFonts w:ascii="Arial" w:hAnsi="Arial" w:cs="Arial"/>
          <w:b/>
          <w:color w:val="1A1A1A" w:themeColor="background1" w:themeShade="1A"/>
          <w:szCs w:val="22"/>
        </w:rPr>
      </w:pPr>
    </w:p>
    <w:p w14:paraId="4AC8A0D4" w14:textId="75AD21DD" w:rsidR="00ED0EC9" w:rsidRDefault="00ED0EC9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  <w:r w:rsidRPr="004A3A54">
        <w:rPr>
          <w:rFonts w:ascii="Arial" w:hAnsi="Arial" w:cs="Arial"/>
          <w:b/>
          <w:color w:val="1A1A1A" w:themeColor="background1" w:themeShade="1A"/>
          <w:szCs w:val="22"/>
        </w:rPr>
        <w:t>Objet :</w:t>
      </w: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 xml:space="preserve"> </w:t>
      </w:r>
      <w:r w:rsidR="005B41A6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>C</w:t>
      </w: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 xml:space="preserve">onvention </w:t>
      </w:r>
      <w:r w:rsidR="00061606"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>d’adhésion au service de paie à façon du Centre de Gestion de la Fonction Publique Territoriale du Gard</w:t>
      </w:r>
      <w:r w:rsidR="005B41A6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>.</w:t>
      </w:r>
    </w:p>
    <w:p w14:paraId="14862196" w14:textId="77777777" w:rsidR="005B41A6" w:rsidRPr="004A3A54" w:rsidRDefault="005B41A6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</w:p>
    <w:p w14:paraId="0DCEB844" w14:textId="03C69E22" w:rsidR="003E1AC2" w:rsidRPr="004A3A54" w:rsidRDefault="009153CC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 xml:space="preserve">Annexe : </w:t>
      </w:r>
      <w:r w:rsidR="005B41A6">
        <w:rPr>
          <w:rFonts w:ascii="Arial" w:eastAsia="Times New Roman" w:hAnsi="Arial" w:cs="Arial"/>
          <w:color w:val="1A1A1A" w:themeColor="background1" w:themeShade="1A"/>
          <w:szCs w:val="22"/>
        </w:rPr>
        <w:t>C</w:t>
      </w:r>
      <w:r w:rsidRPr="004A3A54">
        <w:rPr>
          <w:rFonts w:ascii="Arial" w:eastAsia="Times New Roman" w:hAnsi="Arial" w:cs="Arial"/>
          <w:color w:val="1A1A1A" w:themeColor="background1" w:themeShade="1A"/>
          <w:szCs w:val="22"/>
        </w:rPr>
        <w:t>onvention d’adhésion au service de paie à façon du Centre de Gestion de la Fonction Publique Territoriale du Gard</w:t>
      </w:r>
      <w:r w:rsidR="005B41A6">
        <w:rPr>
          <w:rFonts w:ascii="Arial" w:eastAsia="Times New Roman" w:hAnsi="Arial" w:cs="Arial"/>
          <w:color w:val="1A1A1A" w:themeColor="background1" w:themeShade="1A"/>
          <w:szCs w:val="22"/>
        </w:rPr>
        <w:t>.</w:t>
      </w:r>
    </w:p>
    <w:p w14:paraId="4E7FB49C" w14:textId="0DF91F3D" w:rsidR="009153CC" w:rsidRDefault="009153CC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</w:p>
    <w:p w14:paraId="293015B1" w14:textId="77777777" w:rsidR="005B41A6" w:rsidRPr="004A3A54" w:rsidRDefault="005B41A6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</w:p>
    <w:p w14:paraId="1440AF73" w14:textId="3CFFCB75" w:rsidR="00ED0EC9" w:rsidRPr="004A3A54" w:rsidRDefault="00061606" w:rsidP="004A3A54">
      <w:pPr>
        <w:pStyle w:val="Pieddepage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Monsieur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/Madame le/la </w:t>
      </w: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Maire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/Président(e)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</w:t>
      </w:r>
      <w:r w:rsidR="007C3BF9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informe les membres du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</w:t>
      </w:r>
      <w:r w:rsidR="007C3BF9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onseil municipal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 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Conseil syndical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 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onseil de communauté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 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onseil d’administration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</w:t>
      </w:r>
      <w:r w:rsidR="007C3BF9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que le Centre de Gestion de la Fonction Publique Territoriale du Gard propose un service facultatif de paie à façon</w:t>
      </w:r>
      <w:r w:rsidR="00B76A58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pour les collectivités territoria</w:t>
      </w:r>
      <w:r w:rsidR="00840FD2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les et établissements publics</w:t>
      </w:r>
      <w:r w:rsidR="007C3BF9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. Cette mission a pour objectif d’aider les collectivités dans les travaux liés à la confection des paies (rémunérations et indemnités).</w:t>
      </w:r>
    </w:p>
    <w:p w14:paraId="68438E3F" w14:textId="77777777" w:rsidR="004A3A54" w:rsidRDefault="004A3A54" w:rsidP="004A3A54">
      <w:pPr>
        <w:spacing w:after="0"/>
        <w:jc w:val="both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10977C0A" w14:textId="0DBB5F4C" w:rsidR="00771387" w:rsidRPr="004A3A54" w:rsidRDefault="00771387" w:rsidP="004A3A54">
      <w:pPr>
        <w:spacing w:after="0"/>
        <w:jc w:val="both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Dans ce cadre l</w:t>
      </w:r>
      <w:r w:rsidR="00B51203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e service </w:t>
      </w: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réalise l’ensemble des opérations liées à la paie des agents et des élus de la collectivité dans le respect de la réglementation en vigueur.</w:t>
      </w:r>
    </w:p>
    <w:p w14:paraId="1E7E3406" w14:textId="55BCBC61" w:rsidR="00771387" w:rsidRDefault="00771387" w:rsidP="004A3A54">
      <w:pPr>
        <w:spacing w:after="0"/>
        <w:jc w:val="both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Les modalités d’</w:t>
      </w:r>
      <w:r w:rsidR="00E75355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exécution de ce servic</w:t>
      </w: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e sont précisées dans la convention jointe au présent rapport avec le détail des prestations assurées et les tarifs appliqué</w:t>
      </w:r>
      <w:r w:rsidR="00E75355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s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.</w:t>
      </w:r>
    </w:p>
    <w:p w14:paraId="496FED90" w14:textId="77777777" w:rsidR="004A3A54" w:rsidRPr="004A3A54" w:rsidRDefault="004A3A54" w:rsidP="004A3A54">
      <w:pPr>
        <w:spacing w:after="0"/>
        <w:jc w:val="both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6A9E79FB" w14:textId="0C302A24" w:rsidR="00B51203" w:rsidRPr="004A3A54" w:rsidRDefault="00B7016E" w:rsidP="004A3A54">
      <w:pPr>
        <w:spacing w:after="0"/>
        <w:jc w:val="both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Il est proposé aux membres du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Conseil municipal 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Conseil syndical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 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Conseil de communauté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 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Conseil d’administration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</w:t>
      </w:r>
      <w:r w:rsidR="002C42E1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de solliciter</w:t>
      </w:r>
      <w:r w:rsidR="00E75355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le service de paie à façon du </w:t>
      </w:r>
      <w:r w:rsidR="002C42E1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Centre de Gestion de la fonction Publique 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T</w:t>
      </w:r>
      <w:r w:rsidR="002C42E1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erritoriale du Gard pour les prestations proposées et d’autoriser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Monsieur/Madame le/la Maire/Président(e)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</w:t>
      </w:r>
      <w:r w:rsidR="002C42E1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à signer la convention correspondante dont le texte est soumis aux conseillers.</w:t>
      </w:r>
    </w:p>
    <w:p w14:paraId="5CBA8E0A" w14:textId="77777777" w:rsidR="003E1AC2" w:rsidRPr="004A3A54" w:rsidRDefault="003E1AC2" w:rsidP="004A3A54">
      <w:pPr>
        <w:spacing w:after="0"/>
        <w:jc w:val="both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7BE7F922" w14:textId="6BA30B23" w:rsidR="00ED0EC9" w:rsidRPr="004A3A54" w:rsidRDefault="002C42E1" w:rsidP="004A3A54">
      <w:pPr>
        <w:spacing w:after="0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Le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Conseil municipal 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Conseil syndical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 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Conseil de communauté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 xml:space="preserve"> /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Conseil d’administration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,</w:t>
      </w:r>
    </w:p>
    <w:p w14:paraId="0D4D95F3" w14:textId="77777777" w:rsidR="00ED0EC9" w:rsidRPr="004A3A54" w:rsidRDefault="00ED0EC9" w:rsidP="004A3A54">
      <w:pPr>
        <w:spacing w:after="0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2AFDBAFE" w14:textId="0B9C87C0" w:rsidR="00ED0EC9" w:rsidRPr="004A3A54" w:rsidRDefault="00ED0EC9" w:rsidP="004A3A54">
      <w:pPr>
        <w:spacing w:after="0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Le rapport de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Monsieur/Madame le/la Maire/Président(e)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</w:t>
      </w: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entendu,</w:t>
      </w:r>
    </w:p>
    <w:p w14:paraId="62FB701F" w14:textId="77777777" w:rsidR="00232A64" w:rsidRPr="004A3A54" w:rsidRDefault="00232A64" w:rsidP="004A3A54">
      <w:pPr>
        <w:spacing w:after="0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63094AE6" w14:textId="77777777" w:rsidR="00232A64" w:rsidRPr="004A3A54" w:rsidRDefault="00232A64" w:rsidP="004A3A54">
      <w:pPr>
        <w:spacing w:after="0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Après en avoir délibéré,</w:t>
      </w:r>
    </w:p>
    <w:p w14:paraId="768B3A22" w14:textId="77777777" w:rsidR="00ED0EC9" w:rsidRPr="004A3A54" w:rsidRDefault="00ED0EC9" w:rsidP="004A3A54">
      <w:pPr>
        <w:spacing w:after="0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56422FB9" w14:textId="77777777" w:rsidR="00ED0EC9" w:rsidRPr="004A3A54" w:rsidRDefault="00ED0EC9" w:rsidP="004A3A54">
      <w:pPr>
        <w:spacing w:after="0"/>
        <w:jc w:val="center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 xml:space="preserve">Décident à </w:t>
      </w: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highlight w:val="lightGray"/>
        </w:rPr>
        <w:t>…</w:t>
      </w:r>
      <w:proofErr w:type="gramStart"/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highlight w:val="lightGray"/>
        </w:rPr>
        <w:t>…….</w:t>
      </w:r>
      <w:proofErr w:type="gramEnd"/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highlight w:val="lightGray"/>
        </w:rPr>
        <w:t>.</w:t>
      </w:r>
    </w:p>
    <w:p w14:paraId="442DB256" w14:textId="77777777" w:rsidR="003E1AC2" w:rsidRPr="004A3A54" w:rsidRDefault="003E1AC2" w:rsidP="004A3A54">
      <w:pPr>
        <w:spacing w:after="0"/>
        <w:jc w:val="center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</w:p>
    <w:p w14:paraId="281F56D3" w14:textId="77777777" w:rsidR="00447901" w:rsidRPr="004A3A54" w:rsidRDefault="00447901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</w:pP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  <w:t>Article 1 :</w:t>
      </w:r>
    </w:p>
    <w:p w14:paraId="5D923B16" w14:textId="2EEE6B71" w:rsidR="00447901" w:rsidRPr="004A3A54" w:rsidRDefault="00447901" w:rsidP="004A3A54">
      <w:pPr>
        <w:spacing w:after="0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D’adhérer au service de paie à façon </w:t>
      </w:r>
      <w:r w:rsidRPr="004A3A54">
        <w:rPr>
          <w:rFonts w:ascii="Arial" w:eastAsia="Times New Roman" w:hAnsi="Arial" w:cs="Arial"/>
          <w:color w:val="1A1A1A" w:themeColor="background1" w:themeShade="1A"/>
          <w:szCs w:val="22"/>
        </w:rPr>
        <w:t>du Centre de Gestion de la Fonction Publique Territoriale du Gard</w:t>
      </w:r>
      <w:r w:rsidR="004A3A54">
        <w:rPr>
          <w:rFonts w:ascii="Arial" w:eastAsia="Times New Roman" w:hAnsi="Arial" w:cs="Arial"/>
          <w:color w:val="1A1A1A" w:themeColor="background1" w:themeShade="1A"/>
          <w:szCs w:val="22"/>
        </w:rPr>
        <w:t>.</w:t>
      </w:r>
    </w:p>
    <w:p w14:paraId="4B3A5AC5" w14:textId="77777777" w:rsidR="001E6E3D" w:rsidRPr="004A3A54" w:rsidRDefault="001E6E3D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</w:p>
    <w:p w14:paraId="18B918C0" w14:textId="77777777" w:rsidR="003E1AC2" w:rsidRPr="004A3A54" w:rsidRDefault="003E1AC2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</w:pP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  <w:t xml:space="preserve">Article </w:t>
      </w:r>
      <w:proofErr w:type="gramStart"/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  <w:t>2:</w:t>
      </w:r>
      <w:proofErr w:type="gramEnd"/>
    </w:p>
    <w:p w14:paraId="1C8988D1" w14:textId="77777777" w:rsidR="009153CC" w:rsidRPr="004A3A54" w:rsidRDefault="00B76A58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D’a</w:t>
      </w:r>
      <w:r w:rsidR="001E6E3D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pprouve</w:t>
      </w: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r</w:t>
      </w:r>
      <w:r w:rsidR="003E1AC2"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  <w:t xml:space="preserve"> </w:t>
      </w:r>
      <w:r w:rsidR="003E1AC2" w:rsidRPr="004A3A54">
        <w:rPr>
          <w:rFonts w:ascii="Arial" w:eastAsia="Times New Roman" w:hAnsi="Arial" w:cs="Arial"/>
          <w:color w:val="1A1A1A" w:themeColor="background1" w:themeShade="1A"/>
          <w:szCs w:val="22"/>
        </w:rPr>
        <w:t xml:space="preserve">la convention d’adhésion au service de paie à façon </w:t>
      </w:r>
      <w:r w:rsidR="00232A64" w:rsidRPr="004A3A54">
        <w:rPr>
          <w:rFonts w:ascii="Arial" w:eastAsia="Times New Roman" w:hAnsi="Arial" w:cs="Arial"/>
          <w:color w:val="1A1A1A" w:themeColor="background1" w:themeShade="1A"/>
          <w:szCs w:val="22"/>
        </w:rPr>
        <w:t xml:space="preserve">telle que </w:t>
      </w:r>
      <w:r w:rsidR="009153CC" w:rsidRPr="004A3A54">
        <w:rPr>
          <w:rFonts w:ascii="Arial" w:eastAsia="Times New Roman" w:hAnsi="Arial" w:cs="Arial"/>
          <w:color w:val="1A1A1A" w:themeColor="background1" w:themeShade="1A"/>
          <w:szCs w:val="22"/>
        </w:rPr>
        <w:t>jointe en annexe.</w:t>
      </w:r>
    </w:p>
    <w:p w14:paraId="6FFECEC3" w14:textId="77777777" w:rsidR="003E1AC2" w:rsidRPr="004A3A54" w:rsidRDefault="003E1AC2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1D4F0F1F" w14:textId="77777777" w:rsidR="00ED0EC9" w:rsidRPr="004A3A54" w:rsidRDefault="003E1AC2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</w:pP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  <w:t>Article 3</w:t>
      </w:r>
      <w:r w:rsidR="00ED0EC9"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  <w:t> :</w:t>
      </w:r>
    </w:p>
    <w:p w14:paraId="7D03CA89" w14:textId="5648B45E" w:rsidR="00ED0EC9" w:rsidRPr="004A3A54" w:rsidRDefault="00ED0EC9" w:rsidP="004A3A5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color w:val="1A1A1A" w:themeColor="background1" w:themeShade="1A"/>
          <w:szCs w:val="22"/>
        </w:rPr>
        <w:lastRenderedPageBreak/>
        <w:t>D</w:t>
      </w:r>
      <w:r w:rsidR="002C42E1" w:rsidRPr="004A3A54">
        <w:rPr>
          <w:rFonts w:ascii="Arial" w:eastAsia="Times New Roman" w:hAnsi="Arial" w:cs="Arial"/>
          <w:color w:val="1A1A1A" w:themeColor="background1" w:themeShade="1A"/>
          <w:szCs w:val="22"/>
        </w:rPr>
        <w:t xml:space="preserve">’autoriser </w:t>
      </w:r>
      <w:r w:rsidR="004A3A54"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Monsieur/Madame le/la Maire/Président(e)</w:t>
      </w:r>
      <w:r w:rsid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 </w:t>
      </w:r>
      <w:r w:rsidR="00447901" w:rsidRPr="004A3A54">
        <w:rPr>
          <w:rFonts w:ascii="Arial" w:eastAsia="Times New Roman" w:hAnsi="Arial" w:cs="Arial"/>
          <w:color w:val="1A1A1A" w:themeColor="background1" w:themeShade="1A"/>
          <w:szCs w:val="22"/>
        </w:rPr>
        <w:t>à signer la</w:t>
      </w:r>
      <w:r w:rsidR="00232A64" w:rsidRPr="004A3A54">
        <w:rPr>
          <w:rFonts w:ascii="Arial" w:eastAsia="Times New Roman" w:hAnsi="Arial" w:cs="Arial"/>
          <w:color w:val="1A1A1A" w:themeColor="background1" w:themeShade="1A"/>
          <w:szCs w:val="22"/>
        </w:rPr>
        <w:t>dite</w:t>
      </w:r>
      <w:r w:rsidR="00447901" w:rsidRPr="004A3A54">
        <w:rPr>
          <w:rFonts w:ascii="Arial" w:eastAsia="Times New Roman" w:hAnsi="Arial" w:cs="Arial"/>
          <w:color w:val="1A1A1A" w:themeColor="background1" w:themeShade="1A"/>
          <w:szCs w:val="22"/>
        </w:rPr>
        <w:t xml:space="preserve"> convention d’adhésion et tous les actes qui en découlent.</w:t>
      </w:r>
    </w:p>
    <w:p w14:paraId="157DE567" w14:textId="77777777" w:rsidR="00ED0EC9" w:rsidRPr="004A3A54" w:rsidRDefault="00ED0EC9" w:rsidP="004A3A54">
      <w:pPr>
        <w:spacing w:after="0"/>
        <w:jc w:val="both"/>
        <w:rPr>
          <w:rFonts w:ascii="Arial" w:eastAsia="Times New Roman" w:hAnsi="Arial" w:cs="Arial"/>
          <w:b/>
          <w:bCs/>
          <w:color w:val="1A1A1A" w:themeColor="background1" w:themeShade="1A"/>
          <w:szCs w:val="22"/>
        </w:rPr>
      </w:pPr>
    </w:p>
    <w:p w14:paraId="19D66F2C" w14:textId="77777777" w:rsidR="00ED0EC9" w:rsidRPr="004A3A54" w:rsidRDefault="003E1AC2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</w:pPr>
      <w:r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  <w:t>Article 4</w:t>
      </w:r>
      <w:r w:rsidR="00ED0EC9" w:rsidRPr="004A3A54"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  <w:t> :</w:t>
      </w:r>
    </w:p>
    <w:p w14:paraId="52739ACA" w14:textId="77777777" w:rsidR="00ED0EC9" w:rsidRPr="004A3A54" w:rsidRDefault="00232A64" w:rsidP="004A3A5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 xml:space="preserve">D’inscrire </w:t>
      </w:r>
      <w:r w:rsidR="00447901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les crédits correspondants au budget de la collectivité</w:t>
      </w:r>
      <w:r w:rsidR="00ED0EC9" w:rsidRPr="004A3A54">
        <w:rPr>
          <w:rFonts w:ascii="Arial" w:eastAsia="Times New Roman" w:hAnsi="Arial" w:cs="Arial"/>
          <w:color w:val="1A1A1A" w:themeColor="background1" w:themeShade="1A"/>
          <w:szCs w:val="22"/>
        </w:rPr>
        <w:t>.</w:t>
      </w:r>
    </w:p>
    <w:p w14:paraId="38060CE0" w14:textId="77777777" w:rsidR="003A47E0" w:rsidRPr="004A3A54" w:rsidRDefault="003A47E0" w:rsidP="004A3A54">
      <w:pPr>
        <w:spacing w:after="0"/>
        <w:rPr>
          <w:rFonts w:ascii="Arial" w:eastAsia="Times New Roman" w:hAnsi="Arial" w:cs="Arial"/>
          <w:b/>
          <w:bCs/>
          <w:color w:val="1A1A1A" w:themeColor="background1" w:themeShade="1A"/>
          <w:szCs w:val="22"/>
          <w:u w:val="single"/>
        </w:rPr>
      </w:pPr>
    </w:p>
    <w:p w14:paraId="5B28D0E1" w14:textId="77777777" w:rsidR="00ED0EC9" w:rsidRPr="004A3A54" w:rsidRDefault="00ED0EC9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  <w:highlight w:val="lightGray"/>
        </w:rPr>
        <w:t>Fait à……, le ………</w:t>
      </w:r>
    </w:p>
    <w:p w14:paraId="4A70EDF4" w14:textId="77777777" w:rsidR="00ED0EC9" w:rsidRPr="004A3A54" w:rsidRDefault="00ED0EC9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Pour extrait certifié conforme</w:t>
      </w:r>
    </w:p>
    <w:p w14:paraId="696581D4" w14:textId="77777777" w:rsidR="00ED0EC9" w:rsidRPr="004A3A54" w:rsidRDefault="00ED0EC9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76329A33" w14:textId="77777777" w:rsidR="00ED0EC9" w:rsidRPr="004A3A54" w:rsidRDefault="00ED0EC9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0E527DDB" w14:textId="1E1E3A97" w:rsidR="00ED0EC9" w:rsidRDefault="00447901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  <w:r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Le Maire (2)</w:t>
      </w:r>
      <w:r w:rsidR="00ED0EC9" w:rsidRPr="004A3A54">
        <w:rPr>
          <w:rFonts w:ascii="Arial" w:eastAsia="Times New Roman" w:hAnsi="Arial" w:cs="Arial"/>
          <w:bCs/>
          <w:color w:val="1A1A1A" w:themeColor="background1" w:themeShade="1A"/>
          <w:szCs w:val="22"/>
        </w:rPr>
        <w:t>,</w:t>
      </w:r>
    </w:p>
    <w:p w14:paraId="08BA7BEA" w14:textId="7530774D" w:rsidR="004A3A54" w:rsidRDefault="004A3A54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5F5DC71F" w14:textId="2BACDDBC" w:rsidR="004A3A54" w:rsidRDefault="004A3A54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21C3373C" w14:textId="77777777" w:rsidR="004A3A54" w:rsidRPr="004A3A54" w:rsidRDefault="004A3A54" w:rsidP="004A3A54">
      <w:pPr>
        <w:spacing w:after="0"/>
        <w:ind w:left="5103"/>
        <w:rPr>
          <w:rFonts w:ascii="Arial" w:eastAsia="Times New Roman" w:hAnsi="Arial" w:cs="Arial"/>
          <w:bCs/>
          <w:color w:val="1A1A1A" w:themeColor="background1" w:themeShade="1A"/>
          <w:szCs w:val="22"/>
        </w:rPr>
      </w:pPr>
    </w:p>
    <w:p w14:paraId="0DB3009F" w14:textId="77777777" w:rsidR="004B17D6" w:rsidRPr="004A3A54" w:rsidRDefault="004B17D6" w:rsidP="004A3A54">
      <w:pPr>
        <w:spacing w:after="0" w:line="240" w:lineRule="auto"/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</w:pPr>
      <w:r w:rsidRPr="004A3A54"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  <w:t xml:space="preserve">Visa de la préfecture : </w:t>
      </w:r>
    </w:p>
    <w:p w14:paraId="59F9933B" w14:textId="77777777" w:rsidR="004A3A54" w:rsidRDefault="004A3A54" w:rsidP="004A3A54">
      <w:pPr>
        <w:spacing w:after="0" w:line="240" w:lineRule="auto"/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</w:pPr>
    </w:p>
    <w:p w14:paraId="4112A090" w14:textId="77777777" w:rsidR="004A3A54" w:rsidRDefault="004A3A54" w:rsidP="004A3A54">
      <w:pPr>
        <w:spacing w:after="0" w:line="240" w:lineRule="auto"/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</w:pPr>
    </w:p>
    <w:p w14:paraId="272B80DF" w14:textId="56922E9A" w:rsidR="004B17D6" w:rsidRPr="004A3A54" w:rsidRDefault="004B17D6" w:rsidP="004A3A54">
      <w:pPr>
        <w:spacing w:after="0" w:line="240" w:lineRule="auto"/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</w:pPr>
      <w:r w:rsidRPr="004A3A54"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  <w:t xml:space="preserve">Délibération rendue exécutoire par publication à compter du </w:t>
      </w:r>
    </w:p>
    <w:p w14:paraId="4AFBABD3" w14:textId="77777777" w:rsidR="004B17D6" w:rsidRPr="004A3A54" w:rsidRDefault="004B17D6" w:rsidP="004A3A54">
      <w:pPr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</w:pPr>
      <w:r w:rsidRPr="004A3A54"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  <w:t xml:space="preserve">Le Président informe que la présente délibération peut faire l’objet d’un recours pour excès de pouvoir devant le Tribunal Administratif dans un délai de 2 mois, à compter de la présente publication. Le tribunal administratif peut aussi être saisi par l’application informatique « Télérecours Citoyens » accessible par le site internet </w:t>
      </w:r>
      <w:hyperlink r:id="rId8" w:history="1">
        <w:r w:rsidRPr="004A3A54">
          <w:rPr>
            <w:rFonts w:ascii="Arial" w:eastAsiaTheme="minorHAnsi" w:hAnsi="Arial" w:cs="Arial"/>
            <w:color w:val="1A1A1A" w:themeColor="background1" w:themeShade="1A"/>
            <w:szCs w:val="22"/>
            <w:u w:val="single"/>
            <w:lang w:eastAsia="en-US"/>
          </w:rPr>
          <w:t>www.telerecours.fr</w:t>
        </w:r>
      </w:hyperlink>
      <w:r w:rsidRPr="004A3A54">
        <w:rPr>
          <w:rFonts w:ascii="Arial" w:eastAsiaTheme="minorHAnsi" w:hAnsi="Arial" w:cs="Arial"/>
          <w:color w:val="1A1A1A" w:themeColor="background1" w:themeShade="1A"/>
          <w:szCs w:val="22"/>
          <w:lang w:eastAsia="en-US"/>
        </w:rPr>
        <w:t>. » pour le recours contentieux.</w:t>
      </w:r>
    </w:p>
    <w:p w14:paraId="33FB9C10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bCs/>
          <w:i/>
          <w:color w:val="1A1A1A" w:themeColor="background1" w:themeShade="1A"/>
          <w:szCs w:val="22"/>
        </w:rPr>
      </w:pPr>
    </w:p>
    <w:p w14:paraId="569EE68E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28FFC023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767ABD6D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5DC20012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7689ADF1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1AE2FCFA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110FB134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220DDC14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08C0A9FC" w14:textId="77777777" w:rsidR="001819EF" w:rsidRPr="004A3A54" w:rsidRDefault="001819EF" w:rsidP="004A3A54">
      <w:pPr>
        <w:spacing w:after="0"/>
        <w:rPr>
          <w:rFonts w:ascii="Arial" w:eastAsia="Times New Roman" w:hAnsi="Arial" w:cs="Arial"/>
          <w:color w:val="1A1A1A" w:themeColor="background1" w:themeShade="1A"/>
          <w:szCs w:val="22"/>
        </w:rPr>
      </w:pPr>
    </w:p>
    <w:p w14:paraId="6245DD4B" w14:textId="77777777" w:rsidR="00AF1A07" w:rsidRPr="004A3A54" w:rsidRDefault="00F66768" w:rsidP="004A3A54">
      <w:pPr>
        <w:spacing w:after="0"/>
        <w:jc w:val="center"/>
        <w:rPr>
          <w:rFonts w:ascii="Arial" w:eastAsia="Times New Roman" w:hAnsi="Arial" w:cs="Arial"/>
          <w:color w:val="1A1A1A" w:themeColor="background1" w:themeShade="1A"/>
          <w:szCs w:val="22"/>
        </w:rPr>
      </w:pPr>
    </w:p>
    <w:sectPr w:rsidR="00AF1A07" w:rsidRPr="004A3A54" w:rsidSect="004A3A54">
      <w:pgSz w:w="11906" w:h="16838"/>
      <w:pgMar w:top="1417" w:right="1417" w:bottom="1417" w:left="1417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97B6" w14:textId="77777777" w:rsidR="00F66768" w:rsidRDefault="00F66768" w:rsidP="00061606">
      <w:pPr>
        <w:spacing w:after="0" w:line="240" w:lineRule="auto"/>
      </w:pPr>
      <w:r>
        <w:separator/>
      </w:r>
    </w:p>
  </w:endnote>
  <w:endnote w:type="continuationSeparator" w:id="0">
    <w:p w14:paraId="6935D72E" w14:textId="77777777" w:rsidR="00F66768" w:rsidRDefault="00F66768" w:rsidP="0006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BE6C" w14:textId="77777777" w:rsidR="00F66768" w:rsidRDefault="00F66768" w:rsidP="00061606">
      <w:pPr>
        <w:spacing w:after="0" w:line="240" w:lineRule="auto"/>
      </w:pPr>
      <w:r>
        <w:separator/>
      </w:r>
    </w:p>
  </w:footnote>
  <w:footnote w:type="continuationSeparator" w:id="0">
    <w:p w14:paraId="0481CDCD" w14:textId="77777777" w:rsidR="00F66768" w:rsidRDefault="00F66768" w:rsidP="0006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E3D"/>
    <w:multiLevelType w:val="hybridMultilevel"/>
    <w:tmpl w:val="A8D6942A"/>
    <w:lvl w:ilvl="0" w:tplc="D8CCA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7A"/>
    <w:rsid w:val="00061606"/>
    <w:rsid w:val="00061FDE"/>
    <w:rsid w:val="000F3944"/>
    <w:rsid w:val="001819EF"/>
    <w:rsid w:val="001E6E3D"/>
    <w:rsid w:val="00232A64"/>
    <w:rsid w:val="002C42E1"/>
    <w:rsid w:val="003A47E0"/>
    <w:rsid w:val="003A7DEB"/>
    <w:rsid w:val="003E1AC2"/>
    <w:rsid w:val="00413C3C"/>
    <w:rsid w:val="00447901"/>
    <w:rsid w:val="00487ED1"/>
    <w:rsid w:val="004A3A54"/>
    <w:rsid w:val="004B17D6"/>
    <w:rsid w:val="005B41A6"/>
    <w:rsid w:val="0061677A"/>
    <w:rsid w:val="006C4BE4"/>
    <w:rsid w:val="00771387"/>
    <w:rsid w:val="007C3BF9"/>
    <w:rsid w:val="007D738D"/>
    <w:rsid w:val="00840FD2"/>
    <w:rsid w:val="009153CC"/>
    <w:rsid w:val="00A055E9"/>
    <w:rsid w:val="00A167A7"/>
    <w:rsid w:val="00A859F3"/>
    <w:rsid w:val="00A91CAD"/>
    <w:rsid w:val="00B51203"/>
    <w:rsid w:val="00B7016E"/>
    <w:rsid w:val="00B76A58"/>
    <w:rsid w:val="00B85AB6"/>
    <w:rsid w:val="00C20B44"/>
    <w:rsid w:val="00C2587C"/>
    <w:rsid w:val="00C3319D"/>
    <w:rsid w:val="00C542A1"/>
    <w:rsid w:val="00CD13FE"/>
    <w:rsid w:val="00D46B7E"/>
    <w:rsid w:val="00DA2FFF"/>
    <w:rsid w:val="00DC2F73"/>
    <w:rsid w:val="00E75355"/>
    <w:rsid w:val="00ED0EC9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124D5"/>
  <w15:docId w15:val="{234BC06C-F012-4B05-9848-E3954711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C9"/>
    <w:rPr>
      <w:rFonts w:ascii="Calibri" w:hAnsi="Calibri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EC9"/>
    <w:rPr>
      <w:rFonts w:ascii="Calibri" w:hAnsi="Calibri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D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EC9"/>
    <w:rPr>
      <w:rFonts w:ascii="Calibri" w:hAnsi="Calibri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606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1606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1606"/>
    <w:rPr>
      <w:rFonts w:ascii="Calibri" w:hAnsi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61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21E4-539B-405C-AECA-EB3C249C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Bono</dc:creator>
  <cp:keywords/>
  <dc:description/>
  <cp:lastModifiedBy>ROGE Sabrina</cp:lastModifiedBy>
  <cp:revision>4</cp:revision>
  <cp:lastPrinted>2016-08-19T14:39:00Z</cp:lastPrinted>
  <dcterms:created xsi:type="dcterms:W3CDTF">2024-10-11T07:28:00Z</dcterms:created>
  <dcterms:modified xsi:type="dcterms:W3CDTF">2024-10-11T07:29:00Z</dcterms:modified>
</cp:coreProperties>
</file>